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7822E9" w:rsidP="007822E9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7822E9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7822E9" w:rsidP="007822E9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7822E9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7822E9" w:rsidP="007822E9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7822E9" w:rsidP="007822E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7822E9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7822E9" w:rsidP="007822E9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7822E9">
              <w:rPr>
                <w:sz w:val="26"/>
                <w:szCs w:val="26"/>
                <w:lang w:eastAsia="en-US"/>
              </w:rPr>
              <w:tab/>
            </w:r>
            <w:r w:rsidRPr="007822E9">
              <w:rPr>
                <w:sz w:val="26"/>
                <w:szCs w:val="26"/>
                <w:lang w:eastAsia="en-US"/>
              </w:rPr>
              <w:tab/>
            </w:r>
            <w:r w:rsidRPr="007822E9" w:rsidR="00CD59A5">
              <w:rPr>
                <w:sz w:val="26"/>
                <w:szCs w:val="26"/>
                <w:lang w:eastAsia="en-US"/>
              </w:rPr>
              <w:t>1</w:t>
            </w:r>
            <w:r w:rsidRPr="007822E9" w:rsidR="00781D7F">
              <w:rPr>
                <w:sz w:val="26"/>
                <w:szCs w:val="26"/>
                <w:lang w:eastAsia="en-US"/>
              </w:rPr>
              <w:t>0</w:t>
            </w:r>
            <w:r w:rsidRPr="007822E9" w:rsidR="00CD59A5">
              <w:rPr>
                <w:sz w:val="26"/>
                <w:szCs w:val="26"/>
                <w:lang w:eastAsia="en-US"/>
              </w:rPr>
              <w:t xml:space="preserve"> июня</w:t>
            </w:r>
            <w:r w:rsidRPr="007822E9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7822E9" w:rsidP="007822E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7822E9">
        <w:rPr>
          <w:sz w:val="26"/>
          <w:szCs w:val="26"/>
        </w:rPr>
        <w:t>автономный округ – Югра, г. Ханты-М</w:t>
      </w:r>
      <w:r w:rsidRPr="007822E9" w:rsidR="00B234FF">
        <w:rPr>
          <w:sz w:val="26"/>
          <w:szCs w:val="26"/>
        </w:rPr>
        <w:t>ансийск, ул. Ленина, дом 87/1)</w:t>
      </w:r>
      <w:r w:rsidRPr="007822E9">
        <w:rPr>
          <w:sz w:val="26"/>
          <w:szCs w:val="26"/>
        </w:rPr>
        <w:t>, рассмотрев материалы дела об административном правонарушении в отношении:</w:t>
      </w:r>
    </w:p>
    <w:p w:rsidR="00CC64E3" w:rsidRPr="007822E9" w:rsidP="007822E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7822E9">
        <w:rPr>
          <w:spacing w:val="-4"/>
          <w:sz w:val="26"/>
          <w:szCs w:val="26"/>
        </w:rPr>
        <w:t xml:space="preserve">Зырянова Сергея Викторовича, </w:t>
      </w:r>
      <w:r w:rsidR="00617FD5">
        <w:rPr>
          <w:spacing w:val="-4"/>
          <w:sz w:val="26"/>
          <w:szCs w:val="26"/>
        </w:rPr>
        <w:t>…</w:t>
      </w:r>
    </w:p>
    <w:p w:rsidR="00CC64E3" w:rsidRPr="007822E9" w:rsidP="007822E9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7822E9">
        <w:rPr>
          <w:spacing w:val="-4"/>
          <w:sz w:val="26"/>
          <w:szCs w:val="26"/>
        </w:rPr>
        <w:t>о совершении административного правонарушения, предусмотренного ч. 4 ст.12.15 Кодекса Российской Федерации об административных правонарушениях (далее – КоАП РФ),</w:t>
      </w:r>
    </w:p>
    <w:p w:rsidR="00CC64E3" w:rsidRPr="007822E9" w:rsidP="007822E9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7822E9">
        <w:rPr>
          <w:bCs/>
          <w:iCs/>
          <w:spacing w:val="34"/>
          <w:sz w:val="26"/>
          <w:szCs w:val="26"/>
        </w:rPr>
        <w:t>установил: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Зырянов С.В. </w:t>
      </w:r>
      <w:r w:rsidRPr="007822E9">
        <w:rPr>
          <w:sz w:val="26"/>
          <w:szCs w:val="26"/>
        </w:rPr>
        <w:t xml:space="preserve">24.04.2024 в 21:52 на 940 км автодороги Р404 </w:t>
      </w:r>
      <w:r w:rsidRPr="007822E9" w:rsidR="0097058F">
        <w:rPr>
          <w:sz w:val="26"/>
          <w:szCs w:val="26"/>
        </w:rPr>
        <w:t>Тюмень-Тобольск-Ханты-Мансийск</w:t>
      </w:r>
      <w:r w:rsidRPr="007822E9">
        <w:rPr>
          <w:sz w:val="26"/>
          <w:szCs w:val="26"/>
        </w:rPr>
        <w:t xml:space="preserve"> Ханты-Мансийского автономного округа - Югры, управлял транспортным средством марки «</w:t>
      </w:r>
      <w:r w:rsidR="00617FD5">
        <w:rPr>
          <w:sz w:val="26"/>
          <w:szCs w:val="26"/>
        </w:rPr>
        <w:t>...</w:t>
      </w:r>
      <w:r w:rsidRPr="007822E9">
        <w:rPr>
          <w:sz w:val="26"/>
          <w:szCs w:val="26"/>
        </w:rPr>
        <w:t xml:space="preserve">», государственный регистрационный знак </w:t>
      </w:r>
      <w:r w:rsidR="00617FD5">
        <w:rPr>
          <w:sz w:val="26"/>
          <w:szCs w:val="26"/>
        </w:rPr>
        <w:t>...</w:t>
      </w:r>
      <w:r w:rsidRPr="007822E9">
        <w:rPr>
          <w:sz w:val="26"/>
          <w:szCs w:val="26"/>
        </w:rPr>
        <w:t>, совершил обгон попутно</w:t>
      </w:r>
      <w:r w:rsidRPr="007822E9">
        <w:rPr>
          <w:sz w:val="26"/>
          <w:szCs w:val="26"/>
        </w:rPr>
        <w:t xml:space="preserve"> движущегося транспортного средства с выездом на полосу дороги, предназначенную для встречного движения в зоне действия дорожного знака 3.20 «Обгон запрещен», чем нарушил пункт 1.3 ПДД РФ.</w:t>
      </w:r>
    </w:p>
    <w:p w:rsidR="00CC64E3" w:rsidRPr="007822E9" w:rsidP="007822E9">
      <w:pPr>
        <w:ind w:firstLine="709"/>
        <w:contextualSpacing/>
        <w:jc w:val="both"/>
        <w:rPr>
          <w:spacing w:val="-4"/>
          <w:sz w:val="26"/>
          <w:szCs w:val="26"/>
        </w:rPr>
      </w:pPr>
      <w:r w:rsidRPr="007822E9">
        <w:rPr>
          <w:spacing w:val="-4"/>
          <w:sz w:val="26"/>
          <w:szCs w:val="26"/>
        </w:rPr>
        <w:t>Определением мирового судьи судебного участка №</w:t>
      </w:r>
      <w:r w:rsidRPr="007822E9" w:rsidR="0097058F">
        <w:rPr>
          <w:spacing w:val="-4"/>
          <w:sz w:val="26"/>
          <w:szCs w:val="26"/>
        </w:rPr>
        <w:t>5</w:t>
      </w:r>
      <w:r w:rsidRPr="007822E9">
        <w:rPr>
          <w:spacing w:val="-4"/>
          <w:sz w:val="26"/>
          <w:szCs w:val="26"/>
        </w:rPr>
        <w:t xml:space="preserve"> </w:t>
      </w:r>
      <w:r w:rsidRPr="007822E9" w:rsidR="0097058F">
        <w:rPr>
          <w:spacing w:val="-4"/>
          <w:sz w:val="26"/>
          <w:szCs w:val="26"/>
        </w:rPr>
        <w:t>Ханты-Мансийского</w:t>
      </w:r>
      <w:r w:rsidRPr="007822E9">
        <w:rPr>
          <w:spacing w:val="-4"/>
          <w:sz w:val="26"/>
          <w:szCs w:val="26"/>
        </w:rPr>
        <w:t xml:space="preserve"> </w:t>
      </w:r>
      <w:r w:rsidRPr="007822E9">
        <w:rPr>
          <w:spacing w:val="-4"/>
          <w:sz w:val="26"/>
          <w:szCs w:val="26"/>
        </w:rPr>
        <w:t xml:space="preserve">судебного района Ханты-Мансийского автономного округа - Югры от </w:t>
      </w:r>
      <w:r w:rsidRPr="007822E9" w:rsidR="008D463B">
        <w:rPr>
          <w:spacing w:val="-4"/>
          <w:sz w:val="26"/>
          <w:szCs w:val="26"/>
        </w:rPr>
        <w:t>21.05.2024</w:t>
      </w:r>
      <w:r w:rsidRPr="007822E9">
        <w:rPr>
          <w:spacing w:val="-4"/>
          <w:sz w:val="26"/>
          <w:szCs w:val="26"/>
        </w:rPr>
        <w:t xml:space="preserve"> ходатайство </w:t>
      </w:r>
      <w:r w:rsidRPr="007822E9" w:rsidR="008D463B">
        <w:rPr>
          <w:spacing w:val="-4"/>
          <w:sz w:val="26"/>
          <w:szCs w:val="26"/>
        </w:rPr>
        <w:t>Зырянова С.В.</w:t>
      </w:r>
      <w:r w:rsidRPr="007822E9">
        <w:rPr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участк</w:t>
      </w:r>
      <w:r w:rsidRPr="007822E9">
        <w:rPr>
          <w:spacing w:val="-4"/>
          <w:sz w:val="26"/>
          <w:szCs w:val="26"/>
        </w:rPr>
        <w:t>а №6 Ханты-Мансийского судебного района Ханты-Мансийского автономного округа – Югры по подведомственности.</w:t>
      </w:r>
    </w:p>
    <w:p w:rsidR="00CC64E3" w:rsidRPr="007822E9" w:rsidP="007822E9">
      <w:pPr>
        <w:ind w:firstLine="709"/>
        <w:contextualSpacing/>
        <w:jc w:val="both"/>
        <w:rPr>
          <w:spacing w:val="-4"/>
          <w:sz w:val="26"/>
          <w:szCs w:val="26"/>
        </w:rPr>
      </w:pPr>
      <w:r w:rsidRPr="007822E9">
        <w:rPr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</w:t>
      </w:r>
      <w:r w:rsidRPr="007822E9">
        <w:rPr>
          <w:spacing w:val="-4"/>
          <w:sz w:val="26"/>
          <w:szCs w:val="26"/>
        </w:rPr>
        <w:t>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</w:t>
      </w:r>
      <w:r w:rsidRPr="007822E9">
        <w:rPr>
          <w:spacing w:val="-4"/>
          <w:sz w:val="26"/>
          <w:szCs w:val="26"/>
        </w:rPr>
        <w:t>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B234FF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При рассмотрении дела </w:t>
      </w:r>
      <w:r w:rsidRPr="007822E9" w:rsidR="008D463B">
        <w:rPr>
          <w:sz w:val="26"/>
          <w:szCs w:val="26"/>
        </w:rPr>
        <w:t>Зырянов С.В.</w:t>
      </w:r>
      <w:r w:rsidRPr="007822E9">
        <w:rPr>
          <w:sz w:val="26"/>
          <w:szCs w:val="26"/>
        </w:rPr>
        <w:t xml:space="preserve"> не присутствовал; о месте, дате и времени рассмотрения </w:t>
      </w:r>
      <w:r w:rsidRPr="007822E9" w:rsidR="007822E9">
        <w:rPr>
          <w:sz w:val="26"/>
          <w:szCs w:val="26"/>
        </w:rPr>
        <w:t>дела извещен надлежащим образом</w:t>
      </w:r>
      <w:r w:rsidRPr="007822E9">
        <w:rPr>
          <w:sz w:val="26"/>
          <w:szCs w:val="26"/>
        </w:rPr>
        <w:t xml:space="preserve"> телефонограммой </w:t>
      </w:r>
      <w:r w:rsidRPr="007822E9" w:rsidR="007822E9">
        <w:rPr>
          <w:sz w:val="26"/>
          <w:szCs w:val="26"/>
        </w:rPr>
        <w:t>03.06.2024</w:t>
      </w:r>
      <w:r w:rsidRPr="007822E9">
        <w:rPr>
          <w:sz w:val="26"/>
          <w:szCs w:val="26"/>
        </w:rPr>
        <w:t>. О причинах неявки не сообщил, об отложении рассмотрения дела не просил, иных ходатайств не заявил.</w:t>
      </w:r>
    </w:p>
    <w:p w:rsidR="00B234FF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В соответствии с положениями ч.2 ст.25.1 и п.4 ч.1 ст.29.7 КоАП РФ дело рассмотрено в отсутствие </w:t>
      </w:r>
      <w:r w:rsidRPr="007822E9" w:rsidR="008D463B">
        <w:rPr>
          <w:sz w:val="26"/>
          <w:szCs w:val="26"/>
        </w:rPr>
        <w:t>Зырянова С.В.</w:t>
      </w:r>
    </w:p>
    <w:p w:rsidR="00CC64E3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Огласив протокол об административном правонарушении, исследовав приложенные материалы дела, просмотрев видеозаписи на одном цифровом носителей, мировой судья пришел к выводу о наличии события административного правонарушения, предусмотренного ч. 4 ст. 12.1</w:t>
      </w:r>
      <w:r w:rsidRPr="007822E9">
        <w:rPr>
          <w:sz w:val="26"/>
          <w:szCs w:val="26"/>
        </w:rPr>
        <w:t xml:space="preserve">5 КоАП РФ, и виновности </w:t>
      </w:r>
      <w:r w:rsidRPr="007822E9" w:rsidR="008D463B">
        <w:rPr>
          <w:sz w:val="26"/>
          <w:szCs w:val="26"/>
        </w:rPr>
        <w:t>Зырянова С.В.</w:t>
      </w:r>
      <w:r w:rsidRPr="007822E9">
        <w:rPr>
          <w:sz w:val="26"/>
          <w:szCs w:val="26"/>
        </w:rPr>
        <w:t xml:space="preserve"> в совершении этого правонарушения.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В соответствии с п. 1.3</w:t>
      </w:r>
      <w:r w:rsidRPr="007822E9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ПДД РФ, сигналов светофоров, знаков и </w:t>
      </w:r>
      <w:r w:rsidRPr="007822E9">
        <w:rPr>
          <w:sz w:val="26"/>
          <w:szCs w:val="26"/>
        </w:rPr>
        <w:t>разметки, а также выполнять распоряжения регулировщиков, действующих в пределах предоставленных им прав и регулирующих дорожно</w:t>
      </w:r>
      <w:r w:rsidRPr="007822E9">
        <w:rPr>
          <w:sz w:val="26"/>
          <w:szCs w:val="26"/>
        </w:rPr>
        <w:t>е движение установленными сигналами.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В силу п. 1.3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</w:t>
      </w:r>
      <w:r w:rsidRPr="007822E9">
        <w:rPr>
          <w:sz w:val="26"/>
          <w:szCs w:val="26"/>
        </w:rPr>
        <w:t>и разметкой 1.11, прерывистая линия которой расположена слева.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Согласно п. 1 Приложения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</w:t>
      </w:r>
      <w:r w:rsidRPr="007822E9">
        <w:rPr>
          <w:sz w:val="26"/>
          <w:szCs w:val="26"/>
        </w:rPr>
        <w:t>ую информацию для участников дорожного движения. Пункт 1.1 Приложения 2 к ПДД РФ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</w:t>
      </w:r>
      <w:r w:rsidRPr="007822E9">
        <w:rPr>
          <w:sz w:val="26"/>
          <w:szCs w:val="26"/>
        </w:rPr>
        <w:t>т границы проезжей части, на которые въезд запрещен; обозначает границы стояночных мест транспортных средств. Линию разметки 1.1 пересекать запрещается.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Согласно п. 1.4 ПДД РФ на дорогах установлено правостороннее движение транспортных средств.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При наличии</w:t>
      </w:r>
      <w:r w:rsidRPr="007822E9">
        <w:rPr>
          <w:sz w:val="26"/>
          <w:szCs w:val="26"/>
        </w:rPr>
        <w:t xml:space="preserve"> на автомобильной дороге сплошной линии разметки 1.1 Приложения №2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 средство должно выехать </w:t>
      </w:r>
      <w:r w:rsidRPr="007822E9">
        <w:rPr>
          <w:sz w:val="26"/>
          <w:szCs w:val="26"/>
        </w:rPr>
        <w:t>с пересечения проезжих частей таким образом, чтобы его габариты не вышли за пределы сплошной линии разметки 1.1 Приложения № 2 к ПДД РФ.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Участок дороги, на котором запрещено выполнять обгон, обозначается дорожным знаком 3.20 «Обгон запрещен». Требования эт</w:t>
      </w:r>
      <w:r w:rsidRPr="007822E9">
        <w:rPr>
          <w:sz w:val="26"/>
          <w:szCs w:val="26"/>
        </w:rPr>
        <w:t xml:space="preserve">ого знака запрещают обгон всех транспортных средств, то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Приложения 1 к ПДД).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Сле</w:t>
      </w:r>
      <w:r w:rsidRPr="007822E9">
        <w:rPr>
          <w:sz w:val="26"/>
          <w:szCs w:val="26"/>
        </w:rPr>
        <w:t>довательно, выполнение обгона в зоне действия дорожного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правонарушения, предусмотренного част</w:t>
      </w:r>
      <w:r w:rsidRPr="007822E9">
        <w:rPr>
          <w:sz w:val="26"/>
          <w:szCs w:val="26"/>
        </w:rPr>
        <w:t>ью 4 статьи 12.15 КоАП РФ.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Фактические обстоятельства дела и виновность </w:t>
      </w:r>
      <w:r w:rsidRPr="007822E9" w:rsidR="008D463B">
        <w:rPr>
          <w:sz w:val="26"/>
          <w:szCs w:val="26"/>
        </w:rPr>
        <w:t>Зырянова С.В.</w:t>
      </w:r>
      <w:r w:rsidRPr="007822E9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- протоколом об административном правонарушении от </w:t>
      </w:r>
      <w:r w:rsidRPr="007822E9" w:rsidR="008D463B">
        <w:rPr>
          <w:sz w:val="26"/>
          <w:szCs w:val="26"/>
        </w:rPr>
        <w:t>24.04.2024</w:t>
      </w:r>
      <w:r w:rsidRPr="007822E9">
        <w:rPr>
          <w:sz w:val="26"/>
          <w:szCs w:val="26"/>
        </w:rPr>
        <w:t xml:space="preserve"> 86ХМ №</w:t>
      </w:r>
      <w:r w:rsidRPr="007822E9" w:rsidR="008D463B">
        <w:rPr>
          <w:sz w:val="26"/>
          <w:szCs w:val="26"/>
        </w:rPr>
        <w:t>591685</w:t>
      </w:r>
      <w:r w:rsidRPr="007822E9">
        <w:rPr>
          <w:sz w:val="26"/>
          <w:szCs w:val="26"/>
        </w:rPr>
        <w:t>, в котором указаны выше описанные события, повлекши</w:t>
      </w:r>
      <w:r w:rsidRPr="007822E9">
        <w:rPr>
          <w:sz w:val="26"/>
          <w:szCs w:val="26"/>
        </w:rPr>
        <w:t xml:space="preserve">е нарушение </w:t>
      </w:r>
      <w:r w:rsidRPr="007822E9" w:rsidR="008D463B">
        <w:rPr>
          <w:sz w:val="26"/>
          <w:szCs w:val="26"/>
        </w:rPr>
        <w:t>Зыряновым С.В.</w:t>
      </w:r>
      <w:r w:rsidRPr="007822E9">
        <w:rPr>
          <w:sz w:val="26"/>
          <w:szCs w:val="26"/>
        </w:rPr>
        <w:t xml:space="preserve"> пункта 1.3 ПДД РФ;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- схемой административного правонарушения;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- рапортом инспектора ДПС;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- схемой организации дорожного движения на </w:t>
      </w:r>
      <w:r w:rsidRPr="007822E9" w:rsidR="008D463B">
        <w:rPr>
          <w:sz w:val="26"/>
          <w:szCs w:val="26"/>
        </w:rPr>
        <w:t>940 км</w:t>
      </w:r>
      <w:r w:rsidRPr="007822E9" w:rsidR="0097058F">
        <w:rPr>
          <w:sz w:val="26"/>
          <w:szCs w:val="26"/>
        </w:rPr>
        <w:t xml:space="preserve"> автодороги </w:t>
      </w:r>
      <w:r w:rsidRPr="007822E9" w:rsidR="008D463B">
        <w:rPr>
          <w:sz w:val="26"/>
          <w:szCs w:val="26"/>
        </w:rPr>
        <w:t xml:space="preserve">Р404 </w:t>
      </w:r>
      <w:r w:rsidRPr="007822E9" w:rsidR="0097058F">
        <w:rPr>
          <w:sz w:val="26"/>
          <w:szCs w:val="26"/>
        </w:rPr>
        <w:t>Тюмень-Тобольск-Ханты-Мансийск Ханты-Мансийского автономного округа - Югры</w:t>
      </w:r>
      <w:r w:rsidRPr="007822E9">
        <w:rPr>
          <w:sz w:val="26"/>
          <w:szCs w:val="26"/>
        </w:rPr>
        <w:t>, из которой следует, что на указанном участке дороги имеется дорожный знак 3.20 «Обгон запрещен»;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- реестром правонарушений в отношении </w:t>
      </w:r>
      <w:r w:rsidRPr="007822E9" w:rsidR="008D463B">
        <w:rPr>
          <w:sz w:val="26"/>
          <w:szCs w:val="26"/>
        </w:rPr>
        <w:t>Зырянова С.В</w:t>
      </w:r>
      <w:r w:rsidRPr="007822E9" w:rsidR="008D463B">
        <w:rPr>
          <w:sz w:val="26"/>
          <w:szCs w:val="26"/>
        </w:rPr>
        <w:t>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- видеозаписью.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</w:t>
      </w:r>
      <w:r w:rsidRPr="007822E9">
        <w:rPr>
          <w:sz w:val="26"/>
          <w:szCs w:val="26"/>
        </w:rPr>
        <w:t xml:space="preserve">они составлены уполномоченными на то лицами, надлежащим образом оформлены, получены с соблюдением требований КоАП РФ, полностью </w:t>
      </w:r>
      <w:r w:rsidRPr="007822E9">
        <w:rPr>
          <w:sz w:val="26"/>
          <w:szCs w:val="26"/>
        </w:rPr>
        <w:t xml:space="preserve">согласуются между собой, и нашли объективное подтверждение в ходе судебного разбирательства.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Противоправный выезд на сторону до</w:t>
      </w:r>
      <w:r w:rsidRPr="007822E9">
        <w:rPr>
          <w:sz w:val="26"/>
          <w:szCs w:val="26"/>
        </w:rPr>
        <w:t>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</w:t>
      </w:r>
      <w:r w:rsidRPr="007822E9">
        <w:rPr>
          <w:sz w:val="26"/>
          <w:szCs w:val="26"/>
        </w:rPr>
        <w:t xml:space="preserve">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Административно-противо</w:t>
      </w:r>
      <w:r w:rsidRPr="007822E9">
        <w:rPr>
          <w:sz w:val="26"/>
          <w:szCs w:val="26"/>
        </w:rPr>
        <w:t>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Федерации и за него не установлена ответственность частью 3 данной статьи. При этом наличие в д</w:t>
      </w:r>
      <w:r w:rsidRPr="007822E9">
        <w:rPr>
          <w:sz w:val="26"/>
          <w:szCs w:val="26"/>
        </w:rPr>
        <w:t>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</w:t>
      </w:r>
      <w:r w:rsidRPr="007822E9">
        <w:rPr>
          <w:sz w:val="26"/>
          <w:szCs w:val="26"/>
        </w:rPr>
        <w:t>авил дорожного движения Российской Федерации (Определение Конституционного Суда Российской Федерации от 18 января 2011 года № 6-О-О «Об отказе в принятии к рассмотрению жалобы гражданина Панюшкина Петра Вячеславовича на нарушение его конституционных прав п</w:t>
      </w:r>
      <w:r w:rsidRPr="007822E9">
        <w:rPr>
          <w:sz w:val="26"/>
          <w:szCs w:val="26"/>
        </w:rPr>
        <w:t>оложениями части 4 статьи 12.15 Кодекса Российской Федерации об административных правонарушениях»).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Зырянов С.В. при управлении транспортным средством не проявил необходимой внимательности и предусмотрительности.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В связи с этим действия </w:t>
      </w:r>
      <w:r w:rsidRPr="007822E9" w:rsidR="008D463B">
        <w:rPr>
          <w:sz w:val="26"/>
          <w:szCs w:val="26"/>
        </w:rPr>
        <w:t>Зырянова С.В.</w:t>
      </w:r>
      <w:r w:rsidRPr="007822E9">
        <w:rPr>
          <w:sz w:val="26"/>
          <w:szCs w:val="26"/>
        </w:rPr>
        <w:t xml:space="preserve"> пред</w:t>
      </w:r>
      <w:r w:rsidRPr="007822E9">
        <w:rPr>
          <w:sz w:val="26"/>
          <w:szCs w:val="26"/>
        </w:rPr>
        <w:t xml:space="preserve">ставляли повышенную опасность для жизни, здоровья и имущества участников дорожного движения, поскольку движение </w:t>
      </w:r>
      <w:r w:rsidRPr="007822E9" w:rsidR="008D463B">
        <w:rPr>
          <w:sz w:val="26"/>
          <w:szCs w:val="26"/>
        </w:rPr>
        <w:t>Зырянов С.В.</w:t>
      </w:r>
      <w:r w:rsidRPr="007822E9">
        <w:rPr>
          <w:sz w:val="26"/>
          <w:szCs w:val="26"/>
        </w:rPr>
        <w:t xml:space="preserve"> по встречной полосе на участке, где это запрещено, создавало реальную возможность лобового столкновения транспортных средств, сопря</w:t>
      </w:r>
      <w:r w:rsidRPr="007822E9">
        <w:rPr>
          <w:sz w:val="26"/>
          <w:szCs w:val="26"/>
        </w:rPr>
        <w:t>женного с риском наступления тяжких последствий.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Таким образом, действия </w:t>
      </w:r>
      <w:r w:rsidRPr="007822E9" w:rsidR="008D463B">
        <w:rPr>
          <w:sz w:val="26"/>
          <w:szCs w:val="26"/>
        </w:rPr>
        <w:t>Зырянова С.В.</w:t>
      </w:r>
      <w:r w:rsidRPr="007822E9">
        <w:rPr>
          <w:sz w:val="26"/>
          <w:szCs w:val="26"/>
        </w:rPr>
        <w:t xml:space="preserve"> квалифицируются как правонарушение, предусмотренное ч. 4 ст.12.15 КоАП РФ – выезд в нарушение ПДД РФ на</w:t>
      </w:r>
      <w:r w:rsidRPr="007822E9">
        <w:rPr>
          <w:sz w:val="26"/>
          <w:szCs w:val="26"/>
        </w:rPr>
        <w:t xml:space="preserve">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Смягчающих </w:t>
      </w:r>
      <w:r w:rsidRPr="007822E9" w:rsidR="008D463B">
        <w:rPr>
          <w:sz w:val="26"/>
          <w:szCs w:val="26"/>
        </w:rPr>
        <w:t xml:space="preserve">и отягчающих </w:t>
      </w:r>
      <w:r w:rsidRPr="007822E9">
        <w:rPr>
          <w:sz w:val="26"/>
          <w:szCs w:val="26"/>
        </w:rPr>
        <w:t>ответственность обстоятельств судом не установлено.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Назначая административное наказание </w:t>
      </w:r>
      <w:r w:rsidRPr="007822E9" w:rsidR="008D463B">
        <w:rPr>
          <w:sz w:val="26"/>
          <w:szCs w:val="26"/>
        </w:rPr>
        <w:t>Зырянову С.В.</w:t>
      </w:r>
      <w:r w:rsidRPr="007822E9">
        <w:rPr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</w:t>
      </w:r>
      <w:r w:rsidRPr="007822E9">
        <w:rPr>
          <w:sz w:val="26"/>
          <w:szCs w:val="26"/>
        </w:rPr>
        <w:t xml:space="preserve"> данные о личности виновного лица, его имущественное положение, а также </w:t>
      </w:r>
      <w:r w:rsidRPr="007822E9" w:rsidR="007822E9">
        <w:rPr>
          <w:sz w:val="26"/>
          <w:szCs w:val="26"/>
        </w:rPr>
        <w:t>отсутствие</w:t>
      </w:r>
      <w:r w:rsidRPr="007822E9">
        <w:rPr>
          <w:sz w:val="26"/>
          <w:szCs w:val="26"/>
        </w:rPr>
        <w:t xml:space="preserve"> смягчающих и отягчающих административную ответственность обстоятельств.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7822E9">
        <w:rPr>
          <w:spacing w:val="34"/>
          <w:sz w:val="26"/>
          <w:szCs w:val="26"/>
        </w:rPr>
        <w:t>постановил: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пр</w:t>
      </w:r>
      <w:r w:rsidRPr="007822E9">
        <w:rPr>
          <w:sz w:val="26"/>
          <w:szCs w:val="26"/>
        </w:rPr>
        <w:t xml:space="preserve">изнать </w:t>
      </w:r>
      <w:r w:rsidRPr="007822E9" w:rsidR="008D463B">
        <w:rPr>
          <w:spacing w:val="-4"/>
          <w:sz w:val="26"/>
          <w:szCs w:val="26"/>
        </w:rPr>
        <w:t>Зырянова Сергея Викторовича</w:t>
      </w:r>
      <w:r w:rsidRPr="007822E9">
        <w:rPr>
          <w:sz w:val="26"/>
          <w:szCs w:val="26"/>
        </w:rPr>
        <w:t xml:space="preserve"> виновным в совершении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5 000 (пять тысяч)</w:t>
      </w:r>
      <w:r w:rsidRPr="007822E9">
        <w:rPr>
          <w:sz w:val="26"/>
          <w:szCs w:val="26"/>
        </w:rPr>
        <w:t xml:space="preserve"> рублей.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№40102810245370000007, казначейский счет №0310</w:t>
      </w:r>
      <w:r w:rsidRPr="007822E9">
        <w:rPr>
          <w:sz w:val="26"/>
          <w:szCs w:val="26"/>
        </w:rPr>
        <w:t xml:space="preserve">0643000000018700, лицевой счет 04871342940 в Банк РКЦ Ханты-Мансийск г.Ханты-Мансийск, БИК 007162163, КБК 18811601121010001140, ОКТМО </w:t>
      </w:r>
      <w:r w:rsidRPr="007822E9" w:rsidR="0097058F">
        <w:rPr>
          <w:sz w:val="26"/>
          <w:szCs w:val="26"/>
        </w:rPr>
        <w:t>71871000</w:t>
      </w:r>
      <w:r w:rsidRPr="007822E9">
        <w:rPr>
          <w:sz w:val="26"/>
          <w:szCs w:val="26"/>
        </w:rPr>
        <w:t xml:space="preserve">, УИН </w:t>
      </w:r>
      <w:r w:rsidRPr="007822E9" w:rsidR="008D463B">
        <w:rPr>
          <w:sz w:val="26"/>
          <w:szCs w:val="26"/>
        </w:rPr>
        <w:t>18810486240910007489</w:t>
      </w:r>
      <w:r w:rsidRPr="007822E9">
        <w:rPr>
          <w:sz w:val="26"/>
          <w:szCs w:val="26"/>
        </w:rPr>
        <w:t>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Разъяснить привлекаемому лицу, что в соответствии с частью 1 статьи 32.2 КоАП РФ админ</w:t>
      </w:r>
      <w:r w:rsidRPr="007822E9">
        <w:rPr>
          <w:sz w:val="26"/>
          <w:szCs w:val="26"/>
        </w:rPr>
        <w:t xml:space="preserve">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</w:t>
      </w:r>
      <w:r w:rsidRPr="007822E9">
        <w:rPr>
          <w:sz w:val="26"/>
          <w:szCs w:val="26"/>
        </w:rPr>
        <w:t xml:space="preserve">срока отсрочки или срока рассрочки, предусмотренных статьей 31.5 КоАП РФ. 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</w:t>
      </w:r>
      <w:r w:rsidRPr="007822E9">
        <w:rPr>
          <w:sz w:val="26"/>
          <w:szCs w:val="26"/>
        </w:rPr>
        <w:t>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</w:t>
      </w:r>
      <w:r w:rsidRPr="007822E9">
        <w:rPr>
          <w:sz w:val="26"/>
          <w:szCs w:val="26"/>
        </w:rPr>
        <w:t>ожет быть рассрочена судьей, вынесшим постановление, на срок до трех месяцев.</w:t>
      </w:r>
    </w:p>
    <w:p w:rsidR="00CC64E3" w:rsidRPr="007822E9" w:rsidP="007822E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</w:t>
      </w:r>
      <w:r w:rsidRPr="007822E9">
        <w:rPr>
          <w:sz w:val="26"/>
          <w:szCs w:val="26"/>
        </w:rPr>
        <w:t>рассрочки, штраф подлежит принудительному взысканию через службу судебных приставов (ч. 1 ст. 20.25 КоАП РФ).</w:t>
      </w:r>
    </w:p>
    <w:p w:rsidR="00CC64E3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</w:t>
      </w:r>
      <w:r w:rsidRPr="007822E9">
        <w:rPr>
          <w:sz w:val="26"/>
          <w:szCs w:val="26"/>
        </w:rPr>
        <w:t>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7822E9" w:rsidP="007822E9">
      <w:pPr>
        <w:ind w:firstLine="709"/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Постановление может быть обжаловано в Ханты-Мансийский районный</w:t>
      </w:r>
      <w:r w:rsidRPr="007822E9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CC64E3" w:rsidRPr="007822E9" w:rsidP="007822E9">
      <w:pPr>
        <w:contextualSpacing/>
        <w:jc w:val="both"/>
        <w:rPr>
          <w:sz w:val="26"/>
          <w:szCs w:val="26"/>
        </w:rPr>
      </w:pPr>
    </w:p>
    <w:p w:rsidR="00CC64E3" w:rsidRPr="007822E9" w:rsidP="007822E9">
      <w:pPr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Мировой судья</w:t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  <w:t xml:space="preserve">      </w:t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  <w:t xml:space="preserve">  /подпись/</w:t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  <w:t xml:space="preserve">                             Н.Н. Жиляк</w:t>
      </w:r>
    </w:p>
    <w:p w:rsidR="00CC64E3" w:rsidRPr="007822E9" w:rsidP="007822E9">
      <w:pPr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Копия верна</w:t>
      </w:r>
    </w:p>
    <w:p w:rsidR="00CC64E3" w:rsidRPr="007822E9" w:rsidP="007822E9">
      <w:pPr>
        <w:contextualSpacing/>
        <w:jc w:val="both"/>
        <w:rPr>
          <w:sz w:val="26"/>
          <w:szCs w:val="26"/>
        </w:rPr>
      </w:pPr>
      <w:r w:rsidRPr="007822E9">
        <w:rPr>
          <w:sz w:val="26"/>
          <w:szCs w:val="26"/>
        </w:rPr>
        <w:t>Мировой судья</w:t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ab/>
      </w:r>
      <w:r w:rsidRPr="007822E9">
        <w:rPr>
          <w:sz w:val="26"/>
          <w:szCs w:val="26"/>
        </w:rPr>
        <w:t xml:space="preserve">                   Н.Н. Жиляк</w:t>
      </w:r>
    </w:p>
    <w:p w:rsidR="00E119C8" w:rsidRPr="007822E9" w:rsidP="007822E9">
      <w:pPr>
        <w:contextualSpacing/>
        <w:rPr>
          <w:sz w:val="26"/>
          <w:szCs w:val="26"/>
        </w:rPr>
      </w:pP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617FD5">
      <w:rPr>
        <w:rStyle w:val="PageNumber"/>
        <w:noProof/>
        <w:sz w:val="26"/>
        <w:szCs w:val="26"/>
      </w:rPr>
      <w:t>4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97058F">
      <w:rPr>
        <w:b w:val="0"/>
        <w:bCs/>
        <w:iCs/>
        <w:sz w:val="22"/>
        <w:szCs w:val="22"/>
      </w:rPr>
      <w:t>5</w:t>
    </w:r>
    <w:r w:rsidR="008D463B">
      <w:rPr>
        <w:b w:val="0"/>
        <w:bCs/>
        <w:iCs/>
        <w:sz w:val="22"/>
        <w:szCs w:val="22"/>
      </w:rPr>
      <w:t>89</w:t>
    </w:r>
    <w:r w:rsidRPr="00FD3BE3">
      <w:rPr>
        <w:b w:val="0"/>
        <w:bCs/>
        <w:iCs/>
        <w:sz w:val="22"/>
        <w:szCs w:val="22"/>
      </w:rPr>
      <w:t xml:space="preserve">/2806/2024 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 xml:space="preserve">УИД </w:t>
    </w:r>
    <w:r w:rsidRPr="008D463B" w:rsidR="008D463B">
      <w:rPr>
        <w:b w:val="0"/>
        <w:bCs/>
        <w:iCs/>
        <w:sz w:val="22"/>
        <w:szCs w:val="22"/>
      </w:rPr>
      <w:t>86MS0016-01-2024-007582-68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26DD"/>
    <w:rsid w:val="00163F14"/>
    <w:rsid w:val="001659AC"/>
    <w:rsid w:val="001715F5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5125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17FD5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22E9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D41"/>
    <w:rsid w:val="00970334"/>
    <w:rsid w:val="0097058F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5CC7"/>
    <w:rsid w:val="00A47904"/>
    <w:rsid w:val="00A50DBB"/>
    <w:rsid w:val="00A52CC2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0D2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26B8"/>
    <w:rsid w:val="00D83FBD"/>
    <w:rsid w:val="00D855CD"/>
    <w:rsid w:val="00D862A2"/>
    <w:rsid w:val="00D87DED"/>
    <w:rsid w:val="00D905DF"/>
    <w:rsid w:val="00D90A9A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1A1041-D3A9-42F4-B1AD-FE9F180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37BB-6194-4514-8067-917838D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